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22B8F" w14:textId="4518224A" w:rsidR="008120F9" w:rsidRPr="008120F9" w:rsidRDefault="008120F9" w:rsidP="0083102B">
      <w:pPr>
        <w:shd w:val="clear" w:color="auto" w:fill="002252"/>
        <w:spacing w:after="0" w:line="240" w:lineRule="auto"/>
        <w:jc w:val="right"/>
        <w:rPr>
          <w:rFonts w:ascii="Poppins" w:eastAsia="Times New Roman" w:hAnsi="Poppins" w:cs="Poppins"/>
          <w:color w:val="FFFFFF"/>
          <w:sz w:val="24"/>
          <w:szCs w:val="24"/>
        </w:rPr>
      </w:pPr>
      <w:r w:rsidRPr="008120F9">
        <w:rPr>
          <w:rFonts w:ascii="Poppins" w:eastAsia="Times New Roman" w:hAnsi="Poppins" w:cs="Poppins"/>
          <w:noProof/>
          <w:color w:val="FFFFFF"/>
          <w:sz w:val="24"/>
          <w:szCs w:val="24"/>
        </w:rPr>
        <mc:AlternateContent>
          <mc:Choice Requires="wps">
            <w:drawing>
              <wp:inline distT="0" distB="0" distL="0" distR="0" wp14:anchorId="67D5CB0D" wp14:editId="49E85AAE">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A5E8DC"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A8A8F84" w14:textId="4F5A6BE1" w:rsidR="008120F9" w:rsidRPr="008120F9" w:rsidRDefault="008120F9" w:rsidP="0083102B">
      <w:pPr>
        <w:shd w:val="clear" w:color="auto" w:fill="FFFFFF"/>
        <w:spacing w:line="240" w:lineRule="auto"/>
        <w:rPr>
          <w:rFonts w:ascii="Poppins" w:eastAsia="Times New Roman" w:hAnsi="Poppins" w:cs="Poppins"/>
          <w:color w:val="353535"/>
          <w:sz w:val="24"/>
          <w:szCs w:val="24"/>
        </w:rPr>
      </w:pPr>
      <w:r>
        <w:rPr>
          <w:rFonts w:ascii="Poppins" w:eastAsia="Times New Roman" w:hAnsi="Poppins" w:cs="Poppins"/>
          <w:noProof/>
          <w:color w:val="353535"/>
          <w:sz w:val="24"/>
          <w:szCs w:val="24"/>
        </w:rPr>
        <w:drawing>
          <wp:inline distT="0" distB="0" distL="0" distR="0" wp14:anchorId="4979FBBD" wp14:editId="6A54850D">
            <wp:extent cx="5943600" cy="3467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467100"/>
                    </a:xfrm>
                    <a:prstGeom prst="rect">
                      <a:avLst/>
                    </a:prstGeom>
                    <a:noFill/>
                    <a:ln>
                      <a:noFill/>
                    </a:ln>
                  </pic:spPr>
                </pic:pic>
              </a:graphicData>
            </a:graphic>
          </wp:inline>
        </w:drawing>
      </w:r>
      <w:r w:rsidRPr="008120F9">
        <w:rPr>
          <w:rFonts w:ascii="Poppins" w:eastAsia="Times New Roman" w:hAnsi="Poppins" w:cs="Poppins"/>
          <w:color w:val="353535"/>
          <w:sz w:val="24"/>
          <w:szCs w:val="24"/>
        </w:rPr>
        <w:t>The Health Insurance Portability and Accountability Act (HIPAA) was passed by Congress in 1996. This Act sets the rules for sensitive patient data protection. Entities that deal with protected health information (PHI) must have a physical, network, and process security measures in place and follow them to ensure HIPAA Compliance.</w:t>
      </w:r>
    </w:p>
    <w:p w14:paraId="20B096F8" w14:textId="77777777" w:rsidR="008120F9" w:rsidRPr="008120F9" w:rsidRDefault="008120F9" w:rsidP="008120F9">
      <w:pPr>
        <w:shd w:val="clear" w:color="auto" w:fill="FFFFFF"/>
        <w:spacing w:after="150" w:line="240" w:lineRule="auto"/>
        <w:rPr>
          <w:rFonts w:ascii="Poppins" w:eastAsia="Times New Roman" w:hAnsi="Poppins" w:cs="Poppins"/>
          <w:b/>
          <w:bCs/>
          <w:color w:val="353535"/>
          <w:sz w:val="24"/>
          <w:szCs w:val="24"/>
        </w:rPr>
      </w:pPr>
      <w:r w:rsidRPr="008120F9">
        <w:rPr>
          <w:rFonts w:ascii="Poppins" w:eastAsia="Times New Roman" w:hAnsi="Poppins" w:cs="Poppins"/>
          <w:b/>
          <w:bCs/>
          <w:color w:val="353535"/>
          <w:sz w:val="24"/>
          <w:szCs w:val="24"/>
        </w:rPr>
        <w:t>How HIPAA Helps?</w:t>
      </w:r>
    </w:p>
    <w:p w14:paraId="319C5DAB" w14:textId="44E13FE4" w:rsidR="0083102B" w:rsidRDefault="008120F9" w:rsidP="008120F9">
      <w:pPr>
        <w:shd w:val="clear" w:color="auto" w:fill="FFFFFF"/>
        <w:spacing w:after="150" w:line="240" w:lineRule="auto"/>
        <w:rPr>
          <w:rFonts w:ascii="Poppins" w:eastAsia="Times New Roman" w:hAnsi="Poppins" w:cs="Poppins"/>
          <w:color w:val="353535"/>
          <w:sz w:val="24"/>
          <w:szCs w:val="24"/>
        </w:rPr>
      </w:pPr>
      <w:r w:rsidRPr="008120F9">
        <w:rPr>
          <w:rFonts w:ascii="Poppins" w:eastAsia="Times New Roman" w:hAnsi="Poppins" w:cs="Poppins"/>
          <w:color w:val="353535"/>
          <w:sz w:val="24"/>
          <w:szCs w:val="24"/>
        </w:rPr>
        <w:t xml:space="preserve">HIPAA is beneficial in protecting the confidentiality and security of health information and provide individuals with certain rights to the information about their health. It makes it mandatory across the industry to maintain standards with respect to healthcare information related to billing and associated processes. As a result, there are fewer health care frauds and abuse. HIPAA has been instrumental in proving people with the ability to transfer and </w:t>
      </w:r>
      <w:proofErr w:type="gramStart"/>
      <w:r w:rsidRPr="008120F9">
        <w:rPr>
          <w:rFonts w:ascii="Poppins" w:eastAsia="Times New Roman" w:hAnsi="Poppins" w:cs="Poppins"/>
          <w:color w:val="353535"/>
          <w:sz w:val="24"/>
          <w:szCs w:val="24"/>
        </w:rPr>
        <w:t>still continue</w:t>
      </w:r>
      <w:proofErr w:type="gramEnd"/>
      <w:r w:rsidRPr="008120F9">
        <w:rPr>
          <w:rFonts w:ascii="Poppins" w:eastAsia="Times New Roman" w:hAnsi="Poppins" w:cs="Poppins"/>
          <w:color w:val="353535"/>
          <w:sz w:val="24"/>
          <w:szCs w:val="24"/>
        </w:rPr>
        <w:t xml:space="preserve"> their health insurance coverage while they change or lose jobs.</w:t>
      </w:r>
    </w:p>
    <w:p w14:paraId="105CF4DC" w14:textId="77777777" w:rsidR="0083102B" w:rsidRDefault="0083102B">
      <w:pPr>
        <w:rPr>
          <w:rFonts w:ascii="Poppins" w:eastAsia="Times New Roman" w:hAnsi="Poppins" w:cs="Poppins"/>
          <w:color w:val="353535"/>
          <w:sz w:val="24"/>
          <w:szCs w:val="24"/>
        </w:rPr>
      </w:pPr>
      <w:r>
        <w:rPr>
          <w:rFonts w:ascii="Poppins" w:eastAsia="Times New Roman" w:hAnsi="Poppins" w:cs="Poppins"/>
          <w:color w:val="353535"/>
          <w:sz w:val="24"/>
          <w:szCs w:val="24"/>
        </w:rPr>
        <w:br w:type="page"/>
      </w:r>
    </w:p>
    <w:p w14:paraId="0B72A1AD" w14:textId="77777777" w:rsidR="0083102B" w:rsidRDefault="0083102B" w:rsidP="008120F9">
      <w:pPr>
        <w:shd w:val="clear" w:color="auto" w:fill="FFFFFF"/>
        <w:spacing w:after="150" w:line="240" w:lineRule="auto"/>
        <w:rPr>
          <w:rFonts w:ascii="Poppins" w:eastAsia="Times New Roman" w:hAnsi="Poppins" w:cs="Poppins"/>
          <w:b/>
          <w:bCs/>
          <w:color w:val="353535"/>
          <w:sz w:val="24"/>
          <w:szCs w:val="24"/>
        </w:rPr>
      </w:pPr>
    </w:p>
    <w:p w14:paraId="56C23E17" w14:textId="4B83697C" w:rsidR="008120F9" w:rsidRPr="008120F9" w:rsidRDefault="008120F9" w:rsidP="008120F9">
      <w:pPr>
        <w:shd w:val="clear" w:color="auto" w:fill="FFFFFF"/>
        <w:spacing w:after="150" w:line="240" w:lineRule="auto"/>
        <w:rPr>
          <w:rFonts w:ascii="Poppins" w:eastAsia="Times New Roman" w:hAnsi="Poppins" w:cs="Poppins"/>
          <w:b/>
          <w:bCs/>
          <w:color w:val="353535"/>
          <w:sz w:val="24"/>
          <w:szCs w:val="24"/>
        </w:rPr>
      </w:pPr>
      <w:r w:rsidRPr="008120F9">
        <w:rPr>
          <w:rFonts w:ascii="Poppins" w:eastAsia="Times New Roman" w:hAnsi="Poppins" w:cs="Poppins"/>
          <w:b/>
          <w:bCs/>
          <w:color w:val="353535"/>
          <w:sz w:val="24"/>
          <w:szCs w:val="24"/>
        </w:rPr>
        <w:t>What are the HIPAA Rules?</w:t>
      </w:r>
    </w:p>
    <w:p w14:paraId="74D4D171" w14:textId="77777777" w:rsidR="008120F9" w:rsidRPr="008120F9" w:rsidRDefault="008120F9" w:rsidP="008120F9">
      <w:pPr>
        <w:shd w:val="clear" w:color="auto" w:fill="FFFFFF"/>
        <w:spacing w:after="150" w:line="240" w:lineRule="auto"/>
        <w:rPr>
          <w:rFonts w:ascii="Poppins" w:eastAsia="Times New Roman" w:hAnsi="Poppins" w:cs="Poppins"/>
          <w:color w:val="353535"/>
          <w:sz w:val="24"/>
          <w:szCs w:val="24"/>
        </w:rPr>
      </w:pPr>
      <w:r w:rsidRPr="008120F9">
        <w:rPr>
          <w:rFonts w:ascii="Poppins" w:eastAsia="Times New Roman" w:hAnsi="Poppins" w:cs="Poppins"/>
          <w:color w:val="353535"/>
          <w:sz w:val="24"/>
          <w:szCs w:val="24"/>
        </w:rPr>
        <w:t>HIPAA plays a crucial role in protecting the privacy and security of patient information. For this, it has laid four rules:</w:t>
      </w:r>
    </w:p>
    <w:p w14:paraId="2373DB22" w14:textId="77777777" w:rsidR="008120F9" w:rsidRPr="008120F9" w:rsidRDefault="008120F9" w:rsidP="008120F9">
      <w:pPr>
        <w:numPr>
          <w:ilvl w:val="0"/>
          <w:numId w:val="1"/>
        </w:numPr>
        <w:shd w:val="clear" w:color="auto" w:fill="FFFFFF"/>
        <w:spacing w:before="100" w:beforeAutospacing="1" w:after="100" w:afterAutospacing="1" w:line="240" w:lineRule="auto"/>
        <w:rPr>
          <w:rFonts w:ascii="Poppins" w:eastAsia="Times New Roman" w:hAnsi="Poppins" w:cs="Poppins"/>
          <w:b/>
          <w:bCs/>
          <w:color w:val="353535"/>
          <w:sz w:val="24"/>
          <w:szCs w:val="24"/>
        </w:rPr>
      </w:pPr>
      <w:r w:rsidRPr="008120F9">
        <w:rPr>
          <w:rFonts w:ascii="Poppins" w:eastAsia="Times New Roman" w:hAnsi="Poppins" w:cs="Poppins"/>
          <w:b/>
          <w:bCs/>
          <w:color w:val="353535"/>
          <w:sz w:val="24"/>
          <w:szCs w:val="24"/>
        </w:rPr>
        <w:t>HIPAA Privacy Rule:</w:t>
      </w:r>
    </w:p>
    <w:p w14:paraId="2EAA5D3A" w14:textId="77777777" w:rsidR="008120F9" w:rsidRPr="008120F9" w:rsidRDefault="008120F9" w:rsidP="008120F9">
      <w:pPr>
        <w:shd w:val="clear" w:color="auto" w:fill="FFFFFF"/>
        <w:spacing w:after="150" w:line="240" w:lineRule="auto"/>
        <w:rPr>
          <w:rFonts w:ascii="Poppins" w:eastAsia="Times New Roman" w:hAnsi="Poppins" w:cs="Poppins"/>
          <w:color w:val="353535"/>
          <w:sz w:val="24"/>
          <w:szCs w:val="24"/>
        </w:rPr>
      </w:pPr>
      <w:r w:rsidRPr="008120F9">
        <w:rPr>
          <w:rFonts w:ascii="Poppins" w:eastAsia="Times New Roman" w:hAnsi="Poppins" w:cs="Poppins"/>
          <w:color w:val="353535"/>
          <w:sz w:val="24"/>
          <w:szCs w:val="24"/>
        </w:rPr>
        <w:t>Healthcare data is personal to every patient. Everyone has the right to keep their personal health records private, and every business entity should be responsible for ensuring that no unauthorized person gets access to the patient files. Since the healthcare data is available in many mediums, paper, electronically, etc., a lot needs to be done to prevent them from getting into unauthorized hands.</w:t>
      </w:r>
    </w:p>
    <w:p w14:paraId="58C7448C" w14:textId="77777777" w:rsidR="008120F9" w:rsidRPr="008120F9" w:rsidRDefault="008120F9" w:rsidP="008120F9">
      <w:pPr>
        <w:numPr>
          <w:ilvl w:val="0"/>
          <w:numId w:val="2"/>
        </w:numPr>
        <w:shd w:val="clear" w:color="auto" w:fill="FFFFFF"/>
        <w:spacing w:before="100" w:beforeAutospacing="1" w:after="100" w:afterAutospacing="1" w:line="240" w:lineRule="auto"/>
        <w:rPr>
          <w:rFonts w:ascii="Poppins" w:eastAsia="Times New Roman" w:hAnsi="Poppins" w:cs="Poppins"/>
          <w:b/>
          <w:bCs/>
          <w:color w:val="353535"/>
          <w:sz w:val="24"/>
          <w:szCs w:val="24"/>
        </w:rPr>
      </w:pPr>
      <w:r w:rsidRPr="008120F9">
        <w:rPr>
          <w:rFonts w:ascii="Poppins" w:eastAsia="Times New Roman" w:hAnsi="Poppins" w:cs="Poppins"/>
          <w:b/>
          <w:bCs/>
          <w:color w:val="353535"/>
          <w:sz w:val="24"/>
          <w:szCs w:val="24"/>
        </w:rPr>
        <w:t>HIPAA Security Rule:</w:t>
      </w:r>
    </w:p>
    <w:p w14:paraId="6F9D9DD3" w14:textId="77777777" w:rsidR="008120F9" w:rsidRPr="008120F9" w:rsidRDefault="008120F9" w:rsidP="008120F9">
      <w:pPr>
        <w:shd w:val="clear" w:color="auto" w:fill="FFFFFF"/>
        <w:spacing w:after="150" w:line="240" w:lineRule="auto"/>
        <w:rPr>
          <w:rFonts w:ascii="Poppins" w:eastAsia="Times New Roman" w:hAnsi="Poppins" w:cs="Poppins"/>
          <w:color w:val="353535"/>
          <w:sz w:val="24"/>
          <w:szCs w:val="24"/>
        </w:rPr>
      </w:pPr>
      <w:r w:rsidRPr="008120F9">
        <w:rPr>
          <w:rFonts w:ascii="Poppins" w:eastAsia="Times New Roman" w:hAnsi="Poppins" w:cs="Poppins"/>
          <w:color w:val="353535"/>
          <w:sz w:val="24"/>
          <w:szCs w:val="24"/>
        </w:rPr>
        <w:t>According to HIPAA Security Rule, every entity, including Dentists, must keep patient files safe from any unauthorized access during transit and storage. It specifies safeguards that cover businesses to maintain confidentiality, integrity, and availability of the patient files. It also requires businesses to develop, implement, and maintain appropriate security measures that can protect the security of electronic files they create, receive, maintain, or transmit.</w:t>
      </w:r>
    </w:p>
    <w:p w14:paraId="0CBCA83C" w14:textId="77777777" w:rsidR="008120F9" w:rsidRPr="008120F9" w:rsidRDefault="008120F9" w:rsidP="008120F9">
      <w:pPr>
        <w:numPr>
          <w:ilvl w:val="0"/>
          <w:numId w:val="3"/>
        </w:numPr>
        <w:shd w:val="clear" w:color="auto" w:fill="FFFFFF"/>
        <w:spacing w:before="100" w:beforeAutospacing="1" w:after="100" w:afterAutospacing="1" w:line="240" w:lineRule="auto"/>
        <w:rPr>
          <w:rFonts w:ascii="Poppins" w:eastAsia="Times New Roman" w:hAnsi="Poppins" w:cs="Poppins"/>
          <w:b/>
          <w:bCs/>
          <w:color w:val="353535"/>
          <w:sz w:val="24"/>
          <w:szCs w:val="24"/>
        </w:rPr>
      </w:pPr>
      <w:r w:rsidRPr="008120F9">
        <w:rPr>
          <w:rFonts w:ascii="Poppins" w:eastAsia="Times New Roman" w:hAnsi="Poppins" w:cs="Poppins"/>
          <w:b/>
          <w:bCs/>
          <w:color w:val="353535"/>
          <w:sz w:val="24"/>
          <w:szCs w:val="24"/>
        </w:rPr>
        <w:t>HIPAA Breach Notification Rule:</w:t>
      </w:r>
    </w:p>
    <w:p w14:paraId="3C8EAD96" w14:textId="77777777" w:rsidR="008120F9" w:rsidRPr="008120F9" w:rsidRDefault="008120F9" w:rsidP="008120F9">
      <w:pPr>
        <w:shd w:val="clear" w:color="auto" w:fill="FFFFFF"/>
        <w:spacing w:after="150" w:line="240" w:lineRule="auto"/>
        <w:rPr>
          <w:rFonts w:ascii="Poppins" w:eastAsia="Times New Roman" w:hAnsi="Poppins" w:cs="Poppins"/>
          <w:color w:val="353535"/>
          <w:sz w:val="24"/>
          <w:szCs w:val="24"/>
        </w:rPr>
      </w:pPr>
      <w:r w:rsidRPr="008120F9">
        <w:rPr>
          <w:rFonts w:ascii="Poppins" w:eastAsia="Times New Roman" w:hAnsi="Poppins" w:cs="Poppins"/>
          <w:color w:val="353535"/>
          <w:sz w:val="24"/>
          <w:szCs w:val="24"/>
        </w:rPr>
        <w:t>This rule requires covered entities to informed affected individuals in case of a breach of unsecured patient information. It refers to an impermissible use or disclosure that compromises the security or privacy of the patient’s data.</w:t>
      </w:r>
    </w:p>
    <w:p w14:paraId="48A61847" w14:textId="77777777" w:rsidR="008120F9" w:rsidRPr="008120F9" w:rsidRDefault="008120F9" w:rsidP="008120F9">
      <w:pPr>
        <w:numPr>
          <w:ilvl w:val="0"/>
          <w:numId w:val="4"/>
        </w:numPr>
        <w:shd w:val="clear" w:color="auto" w:fill="FFFFFF"/>
        <w:spacing w:before="100" w:beforeAutospacing="1" w:after="100" w:afterAutospacing="1" w:line="240" w:lineRule="auto"/>
        <w:rPr>
          <w:rFonts w:ascii="Poppins" w:eastAsia="Times New Roman" w:hAnsi="Poppins" w:cs="Poppins"/>
          <w:b/>
          <w:bCs/>
          <w:color w:val="353535"/>
          <w:sz w:val="24"/>
          <w:szCs w:val="24"/>
        </w:rPr>
      </w:pPr>
      <w:r w:rsidRPr="008120F9">
        <w:rPr>
          <w:rFonts w:ascii="Poppins" w:eastAsia="Times New Roman" w:hAnsi="Poppins" w:cs="Poppins"/>
          <w:b/>
          <w:bCs/>
          <w:color w:val="353535"/>
          <w:sz w:val="24"/>
          <w:szCs w:val="24"/>
        </w:rPr>
        <w:t>Patient Safety Rule:</w:t>
      </w:r>
    </w:p>
    <w:p w14:paraId="26FE2BE5" w14:textId="77777777" w:rsidR="008120F9" w:rsidRPr="008120F9" w:rsidRDefault="008120F9" w:rsidP="008120F9">
      <w:pPr>
        <w:shd w:val="clear" w:color="auto" w:fill="FFFFFF"/>
        <w:spacing w:after="150" w:line="240" w:lineRule="auto"/>
        <w:rPr>
          <w:rFonts w:ascii="Poppins" w:eastAsia="Times New Roman" w:hAnsi="Poppins" w:cs="Poppins"/>
          <w:color w:val="353535"/>
          <w:sz w:val="24"/>
          <w:szCs w:val="24"/>
        </w:rPr>
      </w:pPr>
      <w:r w:rsidRPr="008120F9">
        <w:rPr>
          <w:rFonts w:ascii="Poppins" w:eastAsia="Times New Roman" w:hAnsi="Poppins" w:cs="Poppins"/>
          <w:color w:val="353535"/>
          <w:sz w:val="24"/>
          <w:szCs w:val="24"/>
        </w:rPr>
        <w:t>This rule aims at protecting identifiable protected health information that can be used to analyze and improve the safety of the patient.</w:t>
      </w:r>
    </w:p>
    <w:p w14:paraId="7FE6AA55" w14:textId="77777777" w:rsidR="008120F9" w:rsidRPr="008120F9" w:rsidRDefault="008120F9" w:rsidP="008120F9">
      <w:pPr>
        <w:shd w:val="clear" w:color="auto" w:fill="FFFFFF"/>
        <w:spacing w:after="150" w:line="240" w:lineRule="auto"/>
        <w:rPr>
          <w:rFonts w:ascii="Poppins" w:eastAsia="Times New Roman" w:hAnsi="Poppins" w:cs="Poppins"/>
          <w:color w:val="353535"/>
          <w:sz w:val="24"/>
          <w:szCs w:val="24"/>
        </w:rPr>
      </w:pPr>
      <w:r w:rsidRPr="008120F9">
        <w:rPr>
          <w:rFonts w:ascii="Poppins" w:eastAsia="Times New Roman" w:hAnsi="Poppins" w:cs="Poppins"/>
          <w:color w:val="353535"/>
          <w:sz w:val="24"/>
          <w:szCs w:val="24"/>
        </w:rPr>
        <w:lastRenderedPageBreak/>
        <w:t>With HIPAA in the picture, it becomes crucial for Dentists to comply with HIPPA rules, or they will be audited, and if found guilty, will be penalized.</w:t>
      </w:r>
    </w:p>
    <w:p w14:paraId="4F217D48" w14:textId="77777777" w:rsidR="008120F9" w:rsidRPr="008120F9" w:rsidRDefault="008120F9" w:rsidP="008120F9">
      <w:pPr>
        <w:shd w:val="clear" w:color="auto" w:fill="FFFFFF"/>
        <w:spacing w:line="240" w:lineRule="auto"/>
        <w:rPr>
          <w:rFonts w:ascii="Poppins" w:eastAsia="Times New Roman" w:hAnsi="Poppins" w:cs="Poppins"/>
          <w:color w:val="353535"/>
          <w:sz w:val="24"/>
          <w:szCs w:val="24"/>
        </w:rPr>
      </w:pPr>
      <w:r w:rsidRPr="008120F9">
        <w:rPr>
          <w:rFonts w:ascii="Poppins" w:eastAsia="Times New Roman" w:hAnsi="Poppins" w:cs="Poppins"/>
          <w:color w:val="353535"/>
          <w:sz w:val="24"/>
          <w:szCs w:val="24"/>
        </w:rPr>
        <w:t>Dental records, whether on paper or electronically, are considered PHI. Though they contain minimum medical information, they are still subject to the same scrutiny for HIPAA compliance.</w:t>
      </w:r>
    </w:p>
    <w:p w14:paraId="28909416" w14:textId="77777777" w:rsidR="005D407A" w:rsidRDefault="005D407A"/>
    <w:sectPr w:rsidR="005D407A" w:rsidSect="008F00BF">
      <w:headerReference w:type="default" r:id="rId8"/>
      <w:footerReference w:type="default" r:id="rId9"/>
      <w:pgSz w:w="12240" w:h="15840"/>
      <w:pgMar w:top="21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88CE2" w14:textId="77777777" w:rsidR="001B1F3F" w:rsidRDefault="001B1F3F" w:rsidP="0083102B">
      <w:pPr>
        <w:spacing w:after="0" w:line="240" w:lineRule="auto"/>
      </w:pPr>
      <w:r>
        <w:separator/>
      </w:r>
    </w:p>
  </w:endnote>
  <w:endnote w:type="continuationSeparator" w:id="0">
    <w:p w14:paraId="44B6E211" w14:textId="77777777" w:rsidR="001B1F3F" w:rsidRDefault="001B1F3F" w:rsidP="0083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519769"/>
      <w:docPartObj>
        <w:docPartGallery w:val="Page Numbers (Bottom of Page)"/>
        <w:docPartUnique/>
      </w:docPartObj>
    </w:sdtPr>
    <w:sdtEndPr>
      <w:rPr>
        <w:noProof/>
      </w:rPr>
    </w:sdtEndPr>
    <w:sdtContent>
      <w:p w14:paraId="7623D972" w14:textId="7CFC2387" w:rsidR="0083102B" w:rsidRDefault="008310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B5A123" w14:textId="77777777" w:rsidR="0083102B" w:rsidRDefault="00831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7E4B4" w14:textId="77777777" w:rsidR="001B1F3F" w:rsidRDefault="001B1F3F" w:rsidP="0083102B">
      <w:pPr>
        <w:spacing w:after="0" w:line="240" w:lineRule="auto"/>
      </w:pPr>
      <w:r>
        <w:separator/>
      </w:r>
    </w:p>
  </w:footnote>
  <w:footnote w:type="continuationSeparator" w:id="0">
    <w:p w14:paraId="635C2BF6" w14:textId="77777777" w:rsidR="001B1F3F" w:rsidRDefault="001B1F3F" w:rsidP="00831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B024" w14:textId="627FC900" w:rsidR="0083102B" w:rsidRDefault="0083102B" w:rsidP="0083102B">
    <w:pPr>
      <w:pStyle w:val="Header"/>
      <w:jc w:val="right"/>
    </w:pPr>
    <w:r>
      <w:rPr>
        <w:rFonts w:ascii="Poppins" w:eastAsia="Times New Roman" w:hAnsi="Poppins" w:cs="Poppins"/>
        <w:noProof/>
        <w:color w:val="FFFFFF"/>
        <w:sz w:val="24"/>
        <w:szCs w:val="24"/>
      </w:rPr>
      <w:drawing>
        <wp:inline distT="0" distB="0" distL="0" distR="0" wp14:anchorId="5B4EEFFF" wp14:editId="7E59F229">
          <wp:extent cx="1323975" cy="646048"/>
          <wp:effectExtent l="0" t="0" r="0" b="1905"/>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686" cy="6654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333"/>
    <w:multiLevelType w:val="multilevel"/>
    <w:tmpl w:val="F426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202C0"/>
    <w:multiLevelType w:val="multilevel"/>
    <w:tmpl w:val="7736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855A18"/>
    <w:multiLevelType w:val="multilevel"/>
    <w:tmpl w:val="1B60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F96258"/>
    <w:multiLevelType w:val="multilevel"/>
    <w:tmpl w:val="2A60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9303047">
    <w:abstractNumId w:val="0"/>
  </w:num>
  <w:num w:numId="2" w16cid:durableId="1720352293">
    <w:abstractNumId w:val="2"/>
  </w:num>
  <w:num w:numId="3" w16cid:durableId="721558966">
    <w:abstractNumId w:val="1"/>
  </w:num>
  <w:num w:numId="4" w16cid:durableId="117841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F9"/>
    <w:rsid w:val="001B1F3F"/>
    <w:rsid w:val="005D407A"/>
    <w:rsid w:val="008120F9"/>
    <w:rsid w:val="0083102B"/>
    <w:rsid w:val="008F00BF"/>
    <w:rsid w:val="00A4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0DA2D"/>
  <w15:chartTrackingRefBased/>
  <w15:docId w15:val="{6BCE9A41-1DE3-4D37-B9DF-9AF26DCF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20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20F9"/>
    <w:rPr>
      <w:b/>
      <w:bCs/>
    </w:rPr>
  </w:style>
  <w:style w:type="paragraph" w:styleId="Header">
    <w:name w:val="header"/>
    <w:basedOn w:val="Normal"/>
    <w:link w:val="HeaderChar"/>
    <w:uiPriority w:val="99"/>
    <w:unhideWhenUsed/>
    <w:rsid w:val="00831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02B"/>
  </w:style>
  <w:style w:type="paragraph" w:styleId="Footer">
    <w:name w:val="footer"/>
    <w:basedOn w:val="Normal"/>
    <w:link w:val="FooterChar"/>
    <w:uiPriority w:val="99"/>
    <w:unhideWhenUsed/>
    <w:rsid w:val="00831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946035">
      <w:bodyDiv w:val="1"/>
      <w:marLeft w:val="0"/>
      <w:marRight w:val="0"/>
      <w:marTop w:val="0"/>
      <w:marBottom w:val="0"/>
      <w:divBdr>
        <w:top w:val="none" w:sz="0" w:space="0" w:color="auto"/>
        <w:left w:val="none" w:sz="0" w:space="0" w:color="auto"/>
        <w:bottom w:val="none" w:sz="0" w:space="0" w:color="auto"/>
        <w:right w:val="none" w:sz="0" w:space="0" w:color="auto"/>
      </w:divBdr>
      <w:divsChild>
        <w:div w:id="1790322655">
          <w:marLeft w:val="0"/>
          <w:marRight w:val="0"/>
          <w:marTop w:val="0"/>
          <w:marBottom w:val="0"/>
          <w:divBdr>
            <w:top w:val="none" w:sz="0" w:space="0" w:color="auto"/>
            <w:left w:val="none" w:sz="0" w:space="0" w:color="auto"/>
            <w:bottom w:val="none" w:sz="0" w:space="0" w:color="auto"/>
            <w:right w:val="none" w:sz="0" w:space="0" w:color="auto"/>
          </w:divBdr>
        </w:div>
        <w:div w:id="975527302">
          <w:marLeft w:val="0"/>
          <w:marRight w:val="0"/>
          <w:marTop w:val="1440"/>
          <w:marBottom w:val="1440"/>
          <w:divBdr>
            <w:top w:val="none" w:sz="0" w:space="0" w:color="auto"/>
            <w:left w:val="none" w:sz="0" w:space="0" w:color="auto"/>
            <w:bottom w:val="none" w:sz="0" w:space="0" w:color="auto"/>
            <w:right w:val="none" w:sz="0" w:space="0" w:color="auto"/>
          </w:divBdr>
          <w:divsChild>
            <w:div w:id="455493802">
              <w:marLeft w:val="0"/>
              <w:marRight w:val="0"/>
              <w:marTop w:val="0"/>
              <w:marBottom w:val="0"/>
              <w:divBdr>
                <w:top w:val="none" w:sz="0" w:space="0" w:color="auto"/>
                <w:left w:val="none" w:sz="0" w:space="0" w:color="auto"/>
                <w:bottom w:val="none" w:sz="0" w:space="0" w:color="auto"/>
                <w:right w:val="none" w:sz="0" w:space="0" w:color="auto"/>
              </w:divBdr>
            </w:div>
          </w:divsChild>
        </w:div>
        <w:div w:id="802161065">
          <w:marLeft w:val="0"/>
          <w:marRight w:val="0"/>
          <w:marTop w:val="1440"/>
          <w:marBottom w:val="1440"/>
          <w:divBdr>
            <w:top w:val="none" w:sz="0" w:space="0" w:color="auto"/>
            <w:left w:val="none" w:sz="0" w:space="0" w:color="auto"/>
            <w:bottom w:val="none" w:sz="0" w:space="0" w:color="auto"/>
            <w:right w:val="none" w:sz="0" w:space="0" w:color="auto"/>
          </w:divBdr>
          <w:divsChild>
            <w:div w:id="1918245647">
              <w:marLeft w:val="0"/>
              <w:marRight w:val="0"/>
              <w:marTop w:val="0"/>
              <w:marBottom w:val="0"/>
              <w:divBdr>
                <w:top w:val="none" w:sz="0" w:space="0" w:color="auto"/>
                <w:left w:val="none" w:sz="0" w:space="0" w:color="auto"/>
                <w:bottom w:val="none" w:sz="0" w:space="0" w:color="auto"/>
                <w:right w:val="none" w:sz="0" w:space="0" w:color="auto"/>
              </w:divBdr>
              <w:divsChild>
                <w:div w:id="11454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Jetmore</dc:creator>
  <cp:keywords/>
  <dc:description/>
  <cp:lastModifiedBy>Terry Jetmore</cp:lastModifiedBy>
  <cp:revision>3</cp:revision>
  <dcterms:created xsi:type="dcterms:W3CDTF">2023-02-13T20:25:00Z</dcterms:created>
  <dcterms:modified xsi:type="dcterms:W3CDTF">2023-02-13T20:36:00Z</dcterms:modified>
</cp:coreProperties>
</file>