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FC6E" w14:textId="3365C815" w:rsidR="0083277C" w:rsidRDefault="0083277C" w:rsidP="0083277C">
      <w:pPr>
        <w:shd w:val="clear" w:color="auto" w:fill="FFFFFF"/>
        <w:spacing w:after="75" w:line="480" w:lineRule="atLeast"/>
        <w:jc w:val="center"/>
        <w:outlineLvl w:val="0"/>
        <w:rPr>
          <w:rFonts w:ascii="Helvetica" w:eastAsia="Times New Roman" w:hAnsi="Helvetica" w:cs="Helvetica"/>
          <w:color w:val="000000"/>
          <w:kern w:val="36"/>
          <w:sz w:val="42"/>
          <w:szCs w:val="42"/>
        </w:rPr>
      </w:pPr>
    </w:p>
    <w:p w14:paraId="46FA9B44" w14:textId="614FD02B" w:rsidR="0083277C" w:rsidRDefault="0083277C" w:rsidP="0083277C">
      <w:pPr>
        <w:shd w:val="clear" w:color="auto" w:fill="FFFFFF"/>
        <w:spacing w:after="75" w:line="480" w:lineRule="atLeast"/>
        <w:jc w:val="center"/>
        <w:outlineLvl w:val="0"/>
        <w:rPr>
          <w:rFonts w:ascii="Helvetica" w:eastAsia="Times New Roman" w:hAnsi="Helvetica" w:cs="Helvetica"/>
          <w:color w:val="000000"/>
          <w:kern w:val="36"/>
          <w:sz w:val="42"/>
          <w:szCs w:val="42"/>
        </w:rPr>
      </w:pPr>
      <w:r>
        <w:rPr>
          <w:noProof/>
        </w:rPr>
        <w:drawing>
          <wp:inline distT="0" distB="0" distL="0" distR="0" wp14:anchorId="495BFD6B" wp14:editId="7B60E923">
            <wp:extent cx="1238250" cy="1238250"/>
            <wp:effectExtent l="0" t="0" r="0" b="0"/>
            <wp:docPr id="1" name="Picture 1" descr="Image result for us 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 department of health and human service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021AAA24" w14:textId="77777777" w:rsidR="0083277C" w:rsidRDefault="0083277C" w:rsidP="0083277C">
      <w:pPr>
        <w:shd w:val="clear" w:color="auto" w:fill="FFFFFF"/>
        <w:spacing w:after="75" w:line="480" w:lineRule="atLeast"/>
        <w:jc w:val="center"/>
        <w:outlineLvl w:val="0"/>
        <w:rPr>
          <w:rFonts w:ascii="Helvetica" w:eastAsia="Times New Roman" w:hAnsi="Helvetica" w:cs="Helvetica"/>
          <w:color w:val="000000"/>
          <w:kern w:val="36"/>
          <w:sz w:val="42"/>
          <w:szCs w:val="42"/>
        </w:rPr>
      </w:pPr>
    </w:p>
    <w:p w14:paraId="64366068" w14:textId="509A3546" w:rsidR="0083277C" w:rsidRDefault="0083277C" w:rsidP="0083277C">
      <w:pPr>
        <w:shd w:val="clear" w:color="auto" w:fill="FFFFFF"/>
        <w:spacing w:after="75" w:line="480" w:lineRule="atLeast"/>
        <w:jc w:val="center"/>
        <w:outlineLvl w:val="0"/>
        <w:rPr>
          <w:rFonts w:ascii="Helvetica" w:eastAsia="Times New Roman" w:hAnsi="Helvetica" w:cs="Helvetica"/>
          <w:color w:val="000000"/>
          <w:kern w:val="36"/>
          <w:sz w:val="42"/>
          <w:szCs w:val="42"/>
        </w:rPr>
      </w:pPr>
      <w:r w:rsidRPr="0083277C">
        <w:rPr>
          <w:rFonts w:ascii="Helvetica" w:eastAsia="Times New Roman" w:hAnsi="Helvetica" w:cs="Helvetica"/>
          <w:color w:val="000000"/>
          <w:kern w:val="36"/>
          <w:sz w:val="42"/>
          <w:szCs w:val="42"/>
        </w:rPr>
        <w:t>Breach Notification Rule</w:t>
      </w:r>
    </w:p>
    <w:p w14:paraId="1F68DA78" w14:textId="77777777" w:rsidR="0083277C" w:rsidRPr="0083277C" w:rsidRDefault="0083277C" w:rsidP="0083277C">
      <w:pPr>
        <w:shd w:val="clear" w:color="auto" w:fill="FFFFFF"/>
        <w:spacing w:after="75" w:line="480" w:lineRule="atLeast"/>
        <w:outlineLvl w:val="0"/>
        <w:rPr>
          <w:rFonts w:ascii="Helvetica" w:eastAsia="Times New Roman" w:hAnsi="Helvetica" w:cs="Helvetica"/>
          <w:color w:val="000000"/>
          <w:kern w:val="36"/>
          <w:sz w:val="42"/>
          <w:szCs w:val="42"/>
        </w:rPr>
      </w:pPr>
    </w:p>
    <w:p w14:paraId="151D534B"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The HIPAA Breach Notification Rule, 45 CFR §§ 164.400-414, requires HIPAA covered entities and their business associates to provide notification following a breach of unsecured protected health information. Similar breach notification provisions implemented and enforced by the </w:t>
      </w:r>
      <w:hyperlink r:id="rId8" w:history="1">
        <w:r w:rsidRPr="0083277C">
          <w:rPr>
            <w:rFonts w:ascii="Times New Roman" w:eastAsia="Times New Roman" w:hAnsi="Times New Roman" w:cs="Times New Roman"/>
            <w:color w:val="0053CC"/>
            <w:sz w:val="24"/>
            <w:szCs w:val="24"/>
            <w:u w:val="single"/>
          </w:rPr>
          <w:t>Federal Trade Commission (FTC)</w:t>
        </w:r>
      </w:hyperlink>
      <w:r w:rsidRPr="0083277C">
        <w:rPr>
          <w:rFonts w:ascii="Times New Roman" w:eastAsia="Times New Roman" w:hAnsi="Times New Roman" w:cs="Times New Roman"/>
          <w:sz w:val="24"/>
          <w:szCs w:val="24"/>
        </w:rPr>
        <w:t>, apply to vendors of personal health records and their third party service providers, pursuant to section 13407 of the HITECH Act.</w:t>
      </w:r>
    </w:p>
    <w:p w14:paraId="21113219" w14:textId="77777777" w:rsidR="0083277C" w:rsidRPr="0083277C" w:rsidRDefault="0083277C" w:rsidP="0083277C">
      <w:pPr>
        <w:spacing w:before="300" w:after="150" w:line="240" w:lineRule="auto"/>
        <w:outlineLvl w:val="1"/>
        <w:rPr>
          <w:rFonts w:ascii="inherit" w:eastAsia="Times New Roman" w:hAnsi="inherit" w:cs="Times New Roman"/>
          <w:sz w:val="36"/>
          <w:szCs w:val="36"/>
        </w:rPr>
      </w:pPr>
      <w:r w:rsidRPr="0083277C">
        <w:rPr>
          <w:rFonts w:ascii="inherit" w:eastAsia="Times New Roman" w:hAnsi="inherit" w:cs="Times New Roman"/>
          <w:sz w:val="36"/>
          <w:szCs w:val="36"/>
        </w:rPr>
        <w:t>Definition of Breach</w:t>
      </w:r>
    </w:p>
    <w:p w14:paraId="2BBBB85C"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A breach is, generally, an impermissible use or disclosure under the Privacy Rule that compromises the security or privacy of the protected health information.  An impermissible use or disclosure of protected health information is presumed to be a breach unless the covered entity or business associate, as applicable, demonstrates that there is a low probability that the protected health information has been compromised based on a risk assessment of at least the following factors:</w:t>
      </w:r>
    </w:p>
    <w:p w14:paraId="5B9C5BA4" w14:textId="77777777" w:rsidR="0083277C" w:rsidRPr="0083277C" w:rsidRDefault="0083277C" w:rsidP="0083277C">
      <w:pPr>
        <w:numPr>
          <w:ilvl w:val="0"/>
          <w:numId w:val="1"/>
        </w:num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The nature and extent of the protected health information involved, including the types of identifiers and the likelihood of re-</w:t>
      </w:r>
      <w:proofErr w:type="gramStart"/>
      <w:r w:rsidRPr="0083277C">
        <w:rPr>
          <w:rFonts w:ascii="Times New Roman" w:eastAsia="Times New Roman" w:hAnsi="Times New Roman" w:cs="Times New Roman"/>
          <w:sz w:val="24"/>
          <w:szCs w:val="24"/>
        </w:rPr>
        <w:t>identification;</w:t>
      </w:r>
      <w:proofErr w:type="gramEnd"/>
    </w:p>
    <w:p w14:paraId="18748197" w14:textId="77777777" w:rsidR="0083277C" w:rsidRPr="0083277C" w:rsidRDefault="0083277C" w:rsidP="0083277C">
      <w:pPr>
        <w:numPr>
          <w:ilvl w:val="0"/>
          <w:numId w:val="1"/>
        </w:num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 xml:space="preserve">The unauthorized person who used the protected health information or to whom the disclosure was </w:t>
      </w:r>
      <w:proofErr w:type="gramStart"/>
      <w:r w:rsidRPr="0083277C">
        <w:rPr>
          <w:rFonts w:ascii="Times New Roman" w:eastAsia="Times New Roman" w:hAnsi="Times New Roman" w:cs="Times New Roman"/>
          <w:sz w:val="24"/>
          <w:szCs w:val="24"/>
        </w:rPr>
        <w:t>made;</w:t>
      </w:r>
      <w:proofErr w:type="gramEnd"/>
    </w:p>
    <w:p w14:paraId="489C3D9F" w14:textId="77777777" w:rsidR="0083277C" w:rsidRPr="0083277C" w:rsidRDefault="0083277C" w:rsidP="0083277C">
      <w:pPr>
        <w:numPr>
          <w:ilvl w:val="0"/>
          <w:numId w:val="1"/>
        </w:num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 xml:space="preserve">Whether the protected health information was </w:t>
      </w:r>
      <w:proofErr w:type="gramStart"/>
      <w:r w:rsidRPr="0083277C">
        <w:rPr>
          <w:rFonts w:ascii="Times New Roman" w:eastAsia="Times New Roman" w:hAnsi="Times New Roman" w:cs="Times New Roman"/>
          <w:sz w:val="24"/>
          <w:szCs w:val="24"/>
        </w:rPr>
        <w:t>actually acquired</w:t>
      </w:r>
      <w:proofErr w:type="gramEnd"/>
      <w:r w:rsidRPr="0083277C">
        <w:rPr>
          <w:rFonts w:ascii="Times New Roman" w:eastAsia="Times New Roman" w:hAnsi="Times New Roman" w:cs="Times New Roman"/>
          <w:sz w:val="24"/>
          <w:szCs w:val="24"/>
        </w:rPr>
        <w:t xml:space="preserve"> or viewed; and</w:t>
      </w:r>
    </w:p>
    <w:p w14:paraId="2CF4C658" w14:textId="77777777" w:rsidR="0083277C" w:rsidRPr="0083277C" w:rsidRDefault="0083277C" w:rsidP="0083277C">
      <w:pPr>
        <w:numPr>
          <w:ilvl w:val="0"/>
          <w:numId w:val="1"/>
        </w:num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The extent to which the risk to the protected health information has been mitigated.</w:t>
      </w:r>
    </w:p>
    <w:p w14:paraId="4569DFAE"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Covered entities and business associates, where applicable, have discretion to provide the required breach notifications following an impermissible use or disclosure without performing a risk assessment to determine the probability that the protected health information has been compromised.</w:t>
      </w:r>
    </w:p>
    <w:p w14:paraId="09B6FB85"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lastRenderedPageBreak/>
        <w:t>There are three exceptions to the definition of “breach.” The first exception applies to the unintentional acquisition, access, or use of protected health information by a workforce member or person acting under the authority of a covered entity or business associate, if such acquisition, access, or use was made in good faith and within the scope of authority. The second exception applies to the inadvertent disclosure of protected health information by a person authorized to access protected health information at a covered entity or business associate to another person authorized to access protected health information at the covered entity or business associate, or organized health care arrangement in which the covered entity participates. In both cases, the information cannot be further used or disclosed in a manner not permitted by the Privacy Rule. The final exception applies if the covered entity or business associate has a good faith belief that the unauthorized person to whom the impermissible disclosure was made, would not have been able to retain the information.</w:t>
      </w:r>
    </w:p>
    <w:p w14:paraId="4BDBC09B" w14:textId="77777777" w:rsidR="0083277C" w:rsidRPr="0083277C" w:rsidRDefault="0083277C" w:rsidP="0083277C">
      <w:pPr>
        <w:spacing w:before="300" w:after="150" w:line="240" w:lineRule="auto"/>
        <w:outlineLvl w:val="1"/>
        <w:rPr>
          <w:rFonts w:ascii="inherit" w:eastAsia="Times New Roman" w:hAnsi="inherit" w:cs="Times New Roman"/>
          <w:sz w:val="36"/>
          <w:szCs w:val="36"/>
        </w:rPr>
      </w:pPr>
      <w:r w:rsidRPr="0083277C">
        <w:rPr>
          <w:rFonts w:ascii="inherit" w:eastAsia="Times New Roman" w:hAnsi="inherit" w:cs="Times New Roman"/>
          <w:sz w:val="36"/>
          <w:szCs w:val="36"/>
        </w:rPr>
        <w:t>Unsecured Protected Health Information and Guidance</w:t>
      </w:r>
    </w:p>
    <w:p w14:paraId="4878E95A"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Covered entities and business associates must only provide the required notifications if the breach involved unsecured protected health information. Unsecured protected health information is protected health information that has not been rendered unusable, unreadable, or indecipherable to unauthorized persons through the use of a technology or methodology specified by the Secretary in guidance. </w:t>
      </w:r>
    </w:p>
    <w:p w14:paraId="619D02E0"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This guidance was first issued in April 2009 with a request for public comment. The guidance was reissued after consideration of public comment received and specifies encryption and destruction as the technologies and methodologies for rendering protected health information unusable, unreadable, or indecipherable to unauthorized individuals. Additionally, the guidance also applies to unsecured personal health record identifiable health information under the FTC regulations. Covered entities and business associates, as well as entities regulated by the FTC regulations, that secure information as specified by the guidance are relieved from providing notifications following the breach of such information. </w:t>
      </w:r>
    </w:p>
    <w:p w14:paraId="5F843BC4" w14:textId="77777777" w:rsidR="0083277C" w:rsidRPr="0083277C" w:rsidRDefault="0083277C" w:rsidP="0083277C">
      <w:pPr>
        <w:spacing w:after="300" w:line="240" w:lineRule="auto"/>
        <w:rPr>
          <w:rFonts w:ascii="Times New Roman" w:eastAsia="Times New Roman" w:hAnsi="Times New Roman" w:cs="Times New Roman"/>
          <w:sz w:val="24"/>
          <w:szCs w:val="24"/>
        </w:rPr>
      </w:pPr>
      <w:hyperlink r:id="rId9" w:history="1">
        <w:r w:rsidRPr="0083277C">
          <w:rPr>
            <w:rFonts w:ascii="Times New Roman" w:eastAsia="Times New Roman" w:hAnsi="Times New Roman" w:cs="Times New Roman"/>
            <w:color w:val="0053CC"/>
            <w:sz w:val="24"/>
            <w:szCs w:val="24"/>
            <w:u w:val="single"/>
          </w:rPr>
          <w:t>View the Guidance Specifying the Technologies and Methodologies that Render Protected Health Information Unusable, Unreadable, or Indecipherable to Unauthorized Individuals.  </w:t>
        </w:r>
      </w:hyperlink>
    </w:p>
    <w:p w14:paraId="6EF5B9B9" w14:textId="77777777" w:rsidR="0083277C" w:rsidRPr="0083277C" w:rsidRDefault="0083277C" w:rsidP="0083277C">
      <w:pPr>
        <w:spacing w:before="300" w:after="150" w:line="240" w:lineRule="auto"/>
        <w:outlineLvl w:val="1"/>
        <w:rPr>
          <w:rFonts w:ascii="inherit" w:eastAsia="Times New Roman" w:hAnsi="inherit" w:cs="Times New Roman"/>
          <w:sz w:val="36"/>
          <w:szCs w:val="36"/>
        </w:rPr>
      </w:pPr>
      <w:r w:rsidRPr="0083277C">
        <w:rPr>
          <w:rFonts w:ascii="inherit" w:eastAsia="Times New Roman" w:hAnsi="inherit" w:cs="Times New Roman"/>
          <w:sz w:val="36"/>
          <w:szCs w:val="36"/>
        </w:rPr>
        <w:t>Breach Notification Requirements</w:t>
      </w:r>
    </w:p>
    <w:p w14:paraId="63E2E125"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Following a breach of unsecured protected health information, covered entities must provide notification of the breach to affected individuals, the Secretary, and, in certain circumstances, to the media. In addition, business associates must notify covered entities if a breach occurs at or by the business associate.</w:t>
      </w:r>
    </w:p>
    <w:p w14:paraId="11E43ADC" w14:textId="77777777" w:rsidR="0083277C" w:rsidRPr="0083277C" w:rsidRDefault="0083277C" w:rsidP="0083277C">
      <w:pPr>
        <w:spacing w:before="300" w:after="150" w:line="240" w:lineRule="auto"/>
        <w:outlineLvl w:val="2"/>
        <w:rPr>
          <w:rFonts w:ascii="inherit" w:eastAsia="Times New Roman" w:hAnsi="inherit" w:cs="Times New Roman"/>
          <w:sz w:val="30"/>
          <w:szCs w:val="30"/>
        </w:rPr>
      </w:pPr>
      <w:r w:rsidRPr="0083277C">
        <w:rPr>
          <w:rFonts w:ascii="inherit" w:eastAsia="Times New Roman" w:hAnsi="inherit" w:cs="Times New Roman"/>
          <w:sz w:val="30"/>
          <w:szCs w:val="30"/>
        </w:rPr>
        <w:t>Individual Notice</w:t>
      </w:r>
    </w:p>
    <w:p w14:paraId="7BB2CB68"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 xml:space="preserve">Covered entities must notify affected individuals following the discovery of a breach of unsecured protected health information. Covered entities must provide this individual notice in written form by first-class mail, or alternatively, by e-mail if the affected individual has agreed to receive such notices electronically. If the covered entity has insufficient or out-of-date contact information for 10 or more </w:t>
      </w:r>
      <w:r w:rsidRPr="0083277C">
        <w:rPr>
          <w:rFonts w:ascii="Times New Roman" w:eastAsia="Times New Roman" w:hAnsi="Times New Roman" w:cs="Times New Roman"/>
          <w:sz w:val="24"/>
          <w:szCs w:val="24"/>
        </w:rPr>
        <w:lastRenderedPageBreak/>
        <w:t>individuals, the covered entity must provide substitute individual notice by either posting the notice on the home page of its web site for at least 90 days or by providing the notice in major print or broadcast media where the affected individuals likely reside. The covered entity must include a toll-free phone number that remains active for at least 90 days where individuals can learn if their information was involved in the breach. If the covered entity has insufficient or out-of-date contact information for fewer than 10 individuals, the covered entity may provide substitute notice by an alternative form of written notice, by telephone, or other means.  </w:t>
      </w:r>
    </w:p>
    <w:p w14:paraId="15324B8C"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These individual notifications must be provided without unreasonable delay and in no case later than 60 days following the discovery of a breach and must include, to the extent possible, a brief description of the breach, a description of the types of information that were involved in the breach, the steps affected individuals should take to protect themselves from potential harm, a brief description of what the covered entity is doing to investigate the breach, mitigate the harm, and prevent further breaches, as well as contact information for the covered entity (or business associate, as applicable).</w:t>
      </w:r>
    </w:p>
    <w:p w14:paraId="4588E997"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With respect to a breach at or by a business associate, while the covered entity is ultimately responsible for ensuring individuals are notified, the covered entity may delegate the responsibility of providing individual notices to the business associate.  Covered entities and business associates should consider which entity is in the best position to provide notice to the individual, which may depend on various circumstances, such as the functions the business associate performs on behalf of the covered entity and which entity has the relationship with the individual.  </w:t>
      </w:r>
    </w:p>
    <w:p w14:paraId="30761462" w14:textId="77777777" w:rsidR="0083277C" w:rsidRPr="0083277C" w:rsidRDefault="0083277C" w:rsidP="0083277C">
      <w:pPr>
        <w:spacing w:before="300" w:after="150" w:line="240" w:lineRule="auto"/>
        <w:outlineLvl w:val="2"/>
        <w:rPr>
          <w:rFonts w:ascii="inherit" w:eastAsia="Times New Roman" w:hAnsi="inherit" w:cs="Times New Roman"/>
          <w:sz w:val="30"/>
          <w:szCs w:val="30"/>
        </w:rPr>
      </w:pPr>
      <w:r w:rsidRPr="0083277C">
        <w:rPr>
          <w:rFonts w:ascii="inherit" w:eastAsia="Times New Roman" w:hAnsi="inherit" w:cs="Times New Roman"/>
          <w:sz w:val="30"/>
          <w:szCs w:val="30"/>
        </w:rPr>
        <w:t>Media Notice</w:t>
      </w:r>
    </w:p>
    <w:p w14:paraId="3CF8B4DD"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Covered entities that experience a breach affecting more than 500 residents of a State or jurisdiction are, in addition to notifying the affected individuals, required to provide notice to prominent media outlets serving the State or jurisdiction.  Covered entities will likely provide this notification in the form of a press release to appropriate media outlets serving the affected area.  Like individual notice, this media notification must be provided without unreasonable delay and in no case later than 60 days following the discovery of a breach and must include the same information required for the individual notice.</w:t>
      </w:r>
    </w:p>
    <w:p w14:paraId="2C3F6425" w14:textId="77777777" w:rsidR="0083277C" w:rsidRPr="0083277C" w:rsidRDefault="0083277C" w:rsidP="0083277C">
      <w:pPr>
        <w:spacing w:before="300" w:after="150" w:line="240" w:lineRule="auto"/>
        <w:outlineLvl w:val="2"/>
        <w:rPr>
          <w:rFonts w:ascii="inherit" w:eastAsia="Times New Roman" w:hAnsi="inherit" w:cs="Times New Roman"/>
          <w:sz w:val="30"/>
          <w:szCs w:val="30"/>
        </w:rPr>
      </w:pPr>
      <w:r w:rsidRPr="0083277C">
        <w:rPr>
          <w:rFonts w:ascii="inherit" w:eastAsia="Times New Roman" w:hAnsi="inherit" w:cs="Times New Roman"/>
          <w:sz w:val="30"/>
          <w:szCs w:val="30"/>
        </w:rPr>
        <w:t>Notice to the Secretary</w:t>
      </w:r>
    </w:p>
    <w:p w14:paraId="16F19B76"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In addition to notifying affected individuals and the media (where appropriate), covered entities must notify the Secretary of breaches of unsecured protected health information. Covered entities will notify the Secretary by visiting the HHS web site and </w:t>
      </w:r>
      <w:hyperlink r:id="rId10" w:history="1">
        <w:r w:rsidRPr="0083277C">
          <w:rPr>
            <w:rFonts w:ascii="Times New Roman" w:eastAsia="Times New Roman" w:hAnsi="Times New Roman" w:cs="Times New Roman"/>
            <w:color w:val="0053CC"/>
            <w:sz w:val="24"/>
            <w:szCs w:val="24"/>
            <w:u w:val="single"/>
          </w:rPr>
          <w:t>filling out and electronically submitting a breach report form</w:t>
        </w:r>
      </w:hyperlink>
      <w:r w:rsidRPr="0083277C">
        <w:rPr>
          <w:rFonts w:ascii="Times New Roman" w:eastAsia="Times New Roman" w:hAnsi="Times New Roman" w:cs="Times New Roman"/>
          <w:sz w:val="24"/>
          <w:szCs w:val="24"/>
        </w:rPr>
        <w:t>. If a breach affects 500 or more individuals, covered entities must notify the Secretary without unreasonable delay and in no case later than 60 days following a breach. If, however, a breach affects fewer than 500 individuals, the covered entity may notify the Secretary of such breaches on an annual basis. Reports of breaches affecting fewer than 500 individuals are due to the Secretary no later than 60 days after the end of the calendar year in which the breaches are discovered.</w:t>
      </w:r>
    </w:p>
    <w:p w14:paraId="4DE5C44D" w14:textId="77777777" w:rsidR="0083277C" w:rsidRPr="0083277C" w:rsidRDefault="0083277C" w:rsidP="0083277C">
      <w:pPr>
        <w:spacing w:before="300" w:after="150" w:line="240" w:lineRule="auto"/>
        <w:outlineLvl w:val="1"/>
        <w:rPr>
          <w:rFonts w:ascii="inherit" w:eastAsia="Times New Roman" w:hAnsi="inherit" w:cs="Times New Roman"/>
          <w:sz w:val="36"/>
          <w:szCs w:val="36"/>
        </w:rPr>
      </w:pPr>
      <w:r w:rsidRPr="0083277C">
        <w:rPr>
          <w:rFonts w:ascii="inherit" w:eastAsia="Times New Roman" w:hAnsi="inherit" w:cs="Times New Roman"/>
          <w:sz w:val="36"/>
          <w:szCs w:val="36"/>
        </w:rPr>
        <w:lastRenderedPageBreak/>
        <w:t>Notification by a Business Associate</w:t>
      </w:r>
    </w:p>
    <w:p w14:paraId="02A88DED"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 xml:space="preserve">If a breach of unsecured protected health information occurs at or by a business associate, the business associate must notify the covered entity following the discovery of the breach.  A business associate must provide notice to the covered entity without unreasonable delay and no later than 60 days from the discovery of the breach.  To the extent possible, the business associate should provide the covered entity with the identification of </w:t>
      </w:r>
      <w:proofErr w:type="gramStart"/>
      <w:r w:rsidRPr="0083277C">
        <w:rPr>
          <w:rFonts w:ascii="Times New Roman" w:eastAsia="Times New Roman" w:hAnsi="Times New Roman" w:cs="Times New Roman"/>
          <w:sz w:val="24"/>
          <w:szCs w:val="24"/>
        </w:rPr>
        <w:t>each individual</w:t>
      </w:r>
      <w:proofErr w:type="gramEnd"/>
      <w:r w:rsidRPr="0083277C">
        <w:rPr>
          <w:rFonts w:ascii="Times New Roman" w:eastAsia="Times New Roman" w:hAnsi="Times New Roman" w:cs="Times New Roman"/>
          <w:sz w:val="24"/>
          <w:szCs w:val="24"/>
        </w:rPr>
        <w:t xml:space="preserve"> affected by the breach as well as any other available information required to be provided by the covered entity in its notification to affected individuals. </w:t>
      </w:r>
    </w:p>
    <w:p w14:paraId="1759694F" w14:textId="77777777" w:rsidR="0083277C" w:rsidRPr="0083277C" w:rsidRDefault="0083277C" w:rsidP="0083277C">
      <w:pPr>
        <w:spacing w:before="300" w:after="150" w:line="240" w:lineRule="auto"/>
        <w:outlineLvl w:val="1"/>
        <w:rPr>
          <w:rFonts w:ascii="inherit" w:eastAsia="Times New Roman" w:hAnsi="inherit" w:cs="Times New Roman"/>
          <w:sz w:val="36"/>
          <w:szCs w:val="36"/>
        </w:rPr>
      </w:pPr>
      <w:r w:rsidRPr="0083277C">
        <w:rPr>
          <w:rFonts w:ascii="inherit" w:eastAsia="Times New Roman" w:hAnsi="inherit" w:cs="Times New Roman"/>
          <w:sz w:val="36"/>
          <w:szCs w:val="36"/>
        </w:rPr>
        <w:t>Administrative Requirements and Burden of Proof</w:t>
      </w:r>
    </w:p>
    <w:p w14:paraId="5C29B59F" w14:textId="77777777"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Covered entities and business associates, as applicable, have the burden of demonstrating that all required notifications have been provided or that a use or disclosure of unsecured protected health information did not constitute a breach. Thus, with respect to an impermissible use or disclosure, a covered entity (or business associate) should maintain documentation that all required notifications were made, or, alternatively, documentation to demonstrate that notification was not required: (1) its risk assessment demonstrating a low probability that the protected health information has been compromised by the impermissible use or disclosure; or (2) the application of any other exceptions to the definition of “breach.”</w:t>
      </w:r>
    </w:p>
    <w:p w14:paraId="47296EE6" w14:textId="53FDDA1A" w:rsidR="0083277C" w:rsidRPr="0083277C" w:rsidRDefault="0083277C" w:rsidP="0083277C">
      <w:pPr>
        <w:spacing w:after="300" w:line="240" w:lineRule="auto"/>
        <w:rPr>
          <w:rFonts w:ascii="Times New Roman" w:eastAsia="Times New Roman" w:hAnsi="Times New Roman" w:cs="Times New Roman"/>
          <w:sz w:val="24"/>
          <w:szCs w:val="24"/>
        </w:rPr>
      </w:pPr>
      <w:r w:rsidRPr="0083277C">
        <w:rPr>
          <w:rFonts w:ascii="Times New Roman" w:eastAsia="Times New Roman" w:hAnsi="Times New Roman" w:cs="Times New Roman"/>
          <w:sz w:val="24"/>
          <w:szCs w:val="24"/>
        </w:rPr>
        <w:t>Covered entities are also required to comply with certain administrative requirements with respect to breach notification.  For example, covered entities must have in place written policies and procedures regarding breach notification, must train employees on these policies and procedures, and must develop and apply appropriate sanctions against workforce members who do not comply with these policies and procedures</w:t>
      </w:r>
      <w:r>
        <w:rPr>
          <w:rFonts w:ascii="Times New Roman" w:eastAsia="Times New Roman" w:hAnsi="Times New Roman" w:cs="Times New Roman"/>
          <w:sz w:val="24"/>
          <w:szCs w:val="24"/>
        </w:rPr>
        <w:t>.</w:t>
      </w:r>
    </w:p>
    <w:p w14:paraId="074786A2" w14:textId="77777777" w:rsidR="005D407A" w:rsidRDefault="005D407A"/>
    <w:sectPr w:rsidR="005D407A" w:rsidSect="0083277C">
      <w:headerReference w:type="default" r:id="rId11"/>
      <w:footerReference w:type="default" r:id="rId12"/>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A29A" w14:textId="77777777" w:rsidR="00B63BB1" w:rsidRDefault="00B63BB1" w:rsidP="0083277C">
      <w:pPr>
        <w:spacing w:after="0" w:line="240" w:lineRule="auto"/>
      </w:pPr>
      <w:r>
        <w:separator/>
      </w:r>
    </w:p>
  </w:endnote>
  <w:endnote w:type="continuationSeparator" w:id="0">
    <w:p w14:paraId="4FA87DF6" w14:textId="77777777" w:rsidR="00B63BB1" w:rsidRDefault="00B63BB1" w:rsidP="0083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36574"/>
      <w:docPartObj>
        <w:docPartGallery w:val="Page Numbers (Bottom of Page)"/>
        <w:docPartUnique/>
      </w:docPartObj>
    </w:sdtPr>
    <w:sdtEndPr>
      <w:rPr>
        <w:noProof/>
      </w:rPr>
    </w:sdtEndPr>
    <w:sdtContent>
      <w:p w14:paraId="7559AEBD" w14:textId="04063422" w:rsidR="0083277C" w:rsidRDefault="008327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FE4DA" w14:textId="77777777" w:rsidR="0083277C" w:rsidRDefault="0083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A188" w14:textId="77777777" w:rsidR="00B63BB1" w:rsidRDefault="00B63BB1" w:rsidP="0083277C">
      <w:pPr>
        <w:spacing w:after="0" w:line="240" w:lineRule="auto"/>
      </w:pPr>
      <w:r>
        <w:separator/>
      </w:r>
    </w:p>
  </w:footnote>
  <w:footnote w:type="continuationSeparator" w:id="0">
    <w:p w14:paraId="2CADF41C" w14:textId="77777777" w:rsidR="00B63BB1" w:rsidRDefault="00B63BB1" w:rsidP="00832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FE79" w14:textId="4751F70F" w:rsidR="0083277C" w:rsidRDefault="0083277C" w:rsidP="0083277C">
    <w:pPr>
      <w:pStyle w:val="Header"/>
      <w:jc w:val="right"/>
    </w:pPr>
    <w:r>
      <w:rPr>
        <w:rFonts w:ascii="Helvetica" w:eastAsia="Times New Roman" w:hAnsi="Helvetica" w:cs="Helvetica"/>
        <w:noProof/>
        <w:color w:val="000000"/>
        <w:kern w:val="36"/>
        <w:sz w:val="42"/>
        <w:szCs w:val="42"/>
      </w:rPr>
      <w:drawing>
        <wp:inline distT="0" distB="0" distL="0" distR="0" wp14:anchorId="2E7FCF6B" wp14:editId="08C9D3FC">
          <wp:extent cx="1781175" cy="869145"/>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332" cy="8882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35FC8"/>
    <w:multiLevelType w:val="multilevel"/>
    <w:tmpl w:val="ADD4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242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7C"/>
    <w:rsid w:val="005D407A"/>
    <w:rsid w:val="0083277C"/>
    <w:rsid w:val="00B6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9FE35"/>
  <w15:chartTrackingRefBased/>
  <w15:docId w15:val="{568DC555-D2A9-4F5E-9181-96EF5013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27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27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27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7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27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277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27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277C"/>
    <w:rPr>
      <w:color w:val="0000FF"/>
      <w:u w:val="single"/>
    </w:rPr>
  </w:style>
  <w:style w:type="paragraph" w:styleId="Header">
    <w:name w:val="header"/>
    <w:basedOn w:val="Normal"/>
    <w:link w:val="HeaderChar"/>
    <w:uiPriority w:val="99"/>
    <w:unhideWhenUsed/>
    <w:rsid w:val="00832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77C"/>
  </w:style>
  <w:style w:type="paragraph" w:styleId="Footer">
    <w:name w:val="footer"/>
    <w:basedOn w:val="Normal"/>
    <w:link w:val="FooterChar"/>
    <w:uiPriority w:val="99"/>
    <w:unhideWhenUsed/>
    <w:rsid w:val="00832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3086">
      <w:bodyDiv w:val="1"/>
      <w:marLeft w:val="0"/>
      <w:marRight w:val="0"/>
      <w:marTop w:val="0"/>
      <w:marBottom w:val="0"/>
      <w:divBdr>
        <w:top w:val="none" w:sz="0" w:space="0" w:color="auto"/>
        <w:left w:val="none" w:sz="0" w:space="0" w:color="auto"/>
        <w:bottom w:val="none" w:sz="0" w:space="0" w:color="auto"/>
        <w:right w:val="none" w:sz="0" w:space="0" w:color="auto"/>
      </w:divBdr>
      <w:divsChild>
        <w:div w:id="1873764328">
          <w:marLeft w:val="0"/>
          <w:marRight w:val="0"/>
          <w:marTop w:val="0"/>
          <w:marBottom w:val="0"/>
          <w:divBdr>
            <w:top w:val="none" w:sz="0" w:space="0" w:color="auto"/>
            <w:left w:val="none" w:sz="0" w:space="0" w:color="auto"/>
            <w:bottom w:val="none" w:sz="0" w:space="0" w:color="auto"/>
            <w:right w:val="none" w:sz="0" w:space="0" w:color="auto"/>
          </w:divBdr>
        </w:div>
        <w:div w:id="1900969126">
          <w:marLeft w:val="0"/>
          <w:marRight w:val="0"/>
          <w:marTop w:val="0"/>
          <w:marBottom w:val="0"/>
          <w:divBdr>
            <w:top w:val="none" w:sz="0" w:space="0" w:color="auto"/>
            <w:left w:val="none" w:sz="0" w:space="0" w:color="auto"/>
            <w:bottom w:val="none" w:sz="0" w:space="0" w:color="auto"/>
            <w:right w:val="none" w:sz="0" w:space="0" w:color="auto"/>
          </w:divBdr>
          <w:divsChild>
            <w:div w:id="82146852">
              <w:marLeft w:val="0"/>
              <w:marRight w:val="0"/>
              <w:marTop w:val="0"/>
              <w:marBottom w:val="0"/>
              <w:divBdr>
                <w:top w:val="none" w:sz="0" w:space="0" w:color="auto"/>
                <w:left w:val="none" w:sz="0" w:space="0" w:color="auto"/>
                <w:bottom w:val="none" w:sz="0" w:space="0" w:color="auto"/>
                <w:right w:val="none" w:sz="0" w:space="0" w:color="auto"/>
              </w:divBdr>
              <w:divsChild>
                <w:div w:id="2076001398">
                  <w:marLeft w:val="0"/>
                  <w:marRight w:val="0"/>
                  <w:marTop w:val="0"/>
                  <w:marBottom w:val="0"/>
                  <w:divBdr>
                    <w:top w:val="none" w:sz="0" w:space="0" w:color="auto"/>
                    <w:left w:val="none" w:sz="0" w:space="0" w:color="auto"/>
                    <w:bottom w:val="none" w:sz="0" w:space="0" w:color="auto"/>
                    <w:right w:val="none" w:sz="0" w:space="0" w:color="auto"/>
                  </w:divBdr>
                  <w:divsChild>
                    <w:div w:id="1224174316">
                      <w:marLeft w:val="0"/>
                      <w:marRight w:val="0"/>
                      <w:marTop w:val="0"/>
                      <w:marBottom w:val="0"/>
                      <w:divBdr>
                        <w:top w:val="none" w:sz="0" w:space="0" w:color="auto"/>
                        <w:left w:val="none" w:sz="0" w:space="0" w:color="auto"/>
                        <w:bottom w:val="none" w:sz="0" w:space="0" w:color="auto"/>
                        <w:right w:val="none" w:sz="0" w:space="0" w:color="auto"/>
                      </w:divBdr>
                      <w:divsChild>
                        <w:div w:id="8633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540325">
      <w:bodyDiv w:val="1"/>
      <w:marLeft w:val="0"/>
      <w:marRight w:val="0"/>
      <w:marTop w:val="0"/>
      <w:marBottom w:val="0"/>
      <w:divBdr>
        <w:top w:val="none" w:sz="0" w:space="0" w:color="auto"/>
        <w:left w:val="none" w:sz="0" w:space="0" w:color="auto"/>
        <w:bottom w:val="none" w:sz="0" w:space="0" w:color="auto"/>
        <w:right w:val="none" w:sz="0" w:space="0" w:color="auto"/>
      </w:divBdr>
      <w:divsChild>
        <w:div w:id="1087574640">
          <w:marLeft w:val="0"/>
          <w:marRight w:val="0"/>
          <w:marTop w:val="0"/>
          <w:marBottom w:val="0"/>
          <w:divBdr>
            <w:top w:val="none" w:sz="0" w:space="0" w:color="auto"/>
            <w:left w:val="none" w:sz="0" w:space="0" w:color="auto"/>
            <w:bottom w:val="none" w:sz="0" w:space="0" w:color="auto"/>
            <w:right w:val="none" w:sz="0" w:space="0" w:color="auto"/>
          </w:divBdr>
        </w:div>
        <w:div w:id="1648362736">
          <w:marLeft w:val="0"/>
          <w:marRight w:val="0"/>
          <w:marTop w:val="0"/>
          <w:marBottom w:val="0"/>
          <w:divBdr>
            <w:top w:val="none" w:sz="0" w:space="0" w:color="auto"/>
            <w:left w:val="none" w:sz="0" w:space="0" w:color="auto"/>
            <w:bottom w:val="none" w:sz="0" w:space="0" w:color="auto"/>
            <w:right w:val="none" w:sz="0" w:space="0" w:color="auto"/>
          </w:divBdr>
          <w:divsChild>
            <w:div w:id="868448737">
              <w:marLeft w:val="0"/>
              <w:marRight w:val="0"/>
              <w:marTop w:val="0"/>
              <w:marBottom w:val="0"/>
              <w:divBdr>
                <w:top w:val="none" w:sz="0" w:space="0" w:color="auto"/>
                <w:left w:val="none" w:sz="0" w:space="0" w:color="auto"/>
                <w:bottom w:val="none" w:sz="0" w:space="0" w:color="auto"/>
                <w:right w:val="none" w:sz="0" w:space="0" w:color="auto"/>
              </w:divBdr>
              <w:divsChild>
                <w:div w:id="1951280316">
                  <w:marLeft w:val="0"/>
                  <w:marRight w:val="0"/>
                  <w:marTop w:val="0"/>
                  <w:marBottom w:val="0"/>
                  <w:divBdr>
                    <w:top w:val="none" w:sz="0" w:space="0" w:color="auto"/>
                    <w:left w:val="none" w:sz="0" w:space="0" w:color="auto"/>
                    <w:bottom w:val="none" w:sz="0" w:space="0" w:color="auto"/>
                    <w:right w:val="none" w:sz="0" w:space="0" w:color="auto"/>
                  </w:divBdr>
                  <w:divsChild>
                    <w:div w:id="92668761">
                      <w:marLeft w:val="0"/>
                      <w:marRight w:val="0"/>
                      <w:marTop w:val="0"/>
                      <w:marBottom w:val="0"/>
                      <w:divBdr>
                        <w:top w:val="none" w:sz="0" w:space="0" w:color="auto"/>
                        <w:left w:val="none" w:sz="0" w:space="0" w:color="auto"/>
                        <w:bottom w:val="none" w:sz="0" w:space="0" w:color="auto"/>
                        <w:right w:val="none" w:sz="0" w:space="0" w:color="auto"/>
                      </w:divBdr>
                      <w:divsChild>
                        <w:div w:id="4144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iness.ftc.gov/privacy-and-security/health-privacy/health-breach-notification-ru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hs.gov/hipaa/for-professionals/breach-notification/breach-reporting/index.html" TargetMode="External"/><Relationship Id="rId4" Type="http://schemas.openxmlformats.org/officeDocument/2006/relationships/webSettings" Target="webSettings.xml"/><Relationship Id="rId9" Type="http://schemas.openxmlformats.org/officeDocument/2006/relationships/hyperlink" Target="https://www.hhs.gov/hipaa/for-professionals/breach-notification/guidance/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Jetmore</dc:creator>
  <cp:keywords/>
  <dc:description/>
  <cp:lastModifiedBy>Terry Jetmore</cp:lastModifiedBy>
  <cp:revision>1</cp:revision>
  <dcterms:created xsi:type="dcterms:W3CDTF">2023-02-13T20:07:00Z</dcterms:created>
  <dcterms:modified xsi:type="dcterms:W3CDTF">2023-02-13T20:19:00Z</dcterms:modified>
</cp:coreProperties>
</file>